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9" w:rsidRDefault="003129F9" w:rsidP="003129F9">
      <w:pPr>
        <w:jc w:val="center"/>
        <w:rPr>
          <w:b/>
        </w:rPr>
      </w:pPr>
      <w:r>
        <w:rPr>
          <w:b/>
        </w:rPr>
        <w:t>АДМИНИСТРАЦИЯ СЕЛЬСКОГО ПОСЕЛЕНИЯ ЧЕБЕНЛИНСКИЙ СЕЛЬСОВЕТ МУНИЦИПАЛЬНОГО РАЙОНА АЛЬШЕЕВСКОГО РАЙОНА</w:t>
      </w:r>
    </w:p>
    <w:p w:rsidR="003129F9" w:rsidRDefault="003129F9" w:rsidP="003129F9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3129F9" w:rsidRDefault="003129F9" w:rsidP="003129F9">
      <w:pPr>
        <w:jc w:val="center"/>
        <w:rPr>
          <w:b/>
        </w:rPr>
      </w:pPr>
    </w:p>
    <w:p w:rsidR="003129F9" w:rsidRDefault="003129F9" w:rsidP="003129F9">
      <w:pPr>
        <w:jc w:val="center"/>
        <w:rPr>
          <w:b/>
        </w:rPr>
      </w:pPr>
    </w:p>
    <w:p w:rsidR="003129F9" w:rsidRDefault="003129F9" w:rsidP="003129F9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3129F9" w:rsidRDefault="003129F9" w:rsidP="003129F9">
      <w:pPr>
        <w:rPr>
          <w:b/>
        </w:rPr>
      </w:pPr>
    </w:p>
    <w:p w:rsidR="003129F9" w:rsidRDefault="003129F9" w:rsidP="003129F9">
      <w:pPr>
        <w:rPr>
          <w:b/>
        </w:rPr>
      </w:pPr>
      <w:r>
        <w:rPr>
          <w:b/>
        </w:rPr>
        <w:t xml:space="preserve">«17» февраль 2014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№  </w:t>
      </w:r>
      <w:r w:rsidR="00AF2EE6">
        <w:rPr>
          <w:b/>
        </w:rPr>
        <w:t>5</w:t>
      </w:r>
      <w:r>
        <w:rPr>
          <w:b/>
        </w:rPr>
        <w:t xml:space="preserve">                                     «17» февраля 2014 г.</w:t>
      </w:r>
    </w:p>
    <w:p w:rsidR="003129F9" w:rsidRDefault="003129F9" w:rsidP="003129F9">
      <w:pPr>
        <w:rPr>
          <w:sz w:val="28"/>
          <w:szCs w:val="28"/>
        </w:rPr>
      </w:pPr>
    </w:p>
    <w:p w:rsidR="003129F9" w:rsidRDefault="003129F9" w:rsidP="003129F9">
      <w:pPr>
        <w:jc w:val="center"/>
        <w:rPr>
          <w:sz w:val="28"/>
          <w:szCs w:val="28"/>
        </w:rPr>
      </w:pPr>
    </w:p>
    <w:p w:rsidR="003129F9" w:rsidRDefault="003129F9" w:rsidP="003129F9">
      <w:pPr>
        <w:jc w:val="center"/>
        <w:rPr>
          <w:sz w:val="28"/>
          <w:szCs w:val="28"/>
        </w:rPr>
      </w:pPr>
    </w:p>
    <w:p w:rsidR="003129F9" w:rsidRDefault="003129F9" w:rsidP="003129F9">
      <w:pPr>
        <w:pStyle w:val="a7"/>
        <w:ind w:left="0" w:right="-3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О внесении изменений в постановление главы сельского поселения</w:t>
      </w:r>
      <w:r w:rsidRPr="009C3278">
        <w:rPr>
          <w:color w:val="FF00FF"/>
          <w:sz w:val="28"/>
          <w:szCs w:val="28"/>
        </w:rPr>
        <w:t xml:space="preserve"> </w:t>
      </w:r>
      <w:proofErr w:type="spellStart"/>
      <w:r w:rsidRPr="00DC7101">
        <w:rPr>
          <w:b/>
          <w:color w:val="auto"/>
          <w:sz w:val="28"/>
          <w:szCs w:val="28"/>
        </w:rPr>
        <w:t>Чебенлинский</w:t>
      </w:r>
      <w:proofErr w:type="spellEnd"/>
      <w:r w:rsidRPr="00DC7101">
        <w:rPr>
          <w:b/>
          <w:color w:val="auto"/>
          <w:sz w:val="28"/>
          <w:szCs w:val="28"/>
        </w:rPr>
        <w:t xml:space="preserve"> сельсовет</w:t>
      </w:r>
      <w:r>
        <w:rPr>
          <w:b/>
          <w:bCs/>
          <w:color w:val="auto"/>
          <w:sz w:val="28"/>
        </w:rPr>
        <w:t xml:space="preserve">  </w:t>
      </w:r>
      <w:r w:rsidRPr="009C3278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9C3278">
        <w:rPr>
          <w:b/>
          <w:bCs/>
          <w:sz w:val="28"/>
          <w:szCs w:val="28"/>
        </w:rPr>
        <w:t>Альшеевский</w:t>
      </w:r>
      <w:proofErr w:type="spellEnd"/>
      <w:r w:rsidRPr="009C3278">
        <w:rPr>
          <w:b/>
          <w:bCs/>
          <w:sz w:val="28"/>
          <w:szCs w:val="28"/>
        </w:rPr>
        <w:t xml:space="preserve"> район Республики Башкортостан</w:t>
      </w:r>
      <w:r w:rsidRPr="009C3278">
        <w:rPr>
          <w:b/>
          <w:bCs/>
          <w:color w:val="auto"/>
          <w:sz w:val="28"/>
        </w:rPr>
        <w:t xml:space="preserve"> </w:t>
      </w:r>
      <w:r>
        <w:rPr>
          <w:b/>
          <w:bCs/>
          <w:color w:val="auto"/>
          <w:sz w:val="28"/>
        </w:rPr>
        <w:t xml:space="preserve"> от </w:t>
      </w:r>
      <w:r w:rsidRPr="00DC7101">
        <w:rPr>
          <w:b/>
          <w:bCs/>
          <w:color w:val="auto"/>
          <w:sz w:val="28"/>
        </w:rPr>
        <w:t>28 декабря 2012 года № 56</w:t>
      </w:r>
      <w:r>
        <w:rPr>
          <w:b/>
          <w:bCs/>
          <w:color w:val="auto"/>
          <w:sz w:val="28"/>
        </w:rPr>
        <w:t xml:space="preserve"> «Об утверждении Порядка учета бюджетных обязательств получателей средств  бюджета сельского поселения</w:t>
      </w:r>
      <w:r w:rsidRPr="009C3278">
        <w:rPr>
          <w:color w:val="FF00FF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Чебенлинский</w:t>
      </w:r>
      <w:proofErr w:type="spellEnd"/>
      <w:r w:rsidRPr="00DC7101">
        <w:rPr>
          <w:b/>
          <w:color w:val="auto"/>
          <w:sz w:val="28"/>
          <w:szCs w:val="28"/>
        </w:rPr>
        <w:t xml:space="preserve"> сельсовет</w:t>
      </w:r>
      <w:r>
        <w:rPr>
          <w:b/>
          <w:bCs/>
          <w:color w:val="auto"/>
          <w:sz w:val="28"/>
        </w:rPr>
        <w:t xml:space="preserve"> муниципального района </w:t>
      </w:r>
      <w:proofErr w:type="spellStart"/>
      <w:r>
        <w:rPr>
          <w:b/>
          <w:bCs/>
          <w:color w:val="auto"/>
          <w:sz w:val="28"/>
        </w:rPr>
        <w:t>Альшеевский</w:t>
      </w:r>
      <w:proofErr w:type="spellEnd"/>
      <w:r>
        <w:rPr>
          <w:b/>
          <w:bCs/>
          <w:color w:val="auto"/>
          <w:sz w:val="28"/>
        </w:rPr>
        <w:t xml:space="preserve"> район Республики Башкортостан</w:t>
      </w:r>
      <w:proofErr w:type="gramStart"/>
      <w:r>
        <w:rPr>
          <w:b/>
          <w:bCs/>
          <w:color w:val="auto"/>
          <w:sz w:val="28"/>
        </w:rPr>
        <w:t>»б</w:t>
      </w:r>
      <w:proofErr w:type="gramEnd"/>
    </w:p>
    <w:p w:rsidR="003129F9" w:rsidRDefault="003129F9" w:rsidP="003129F9">
      <w:pPr>
        <w:pStyle w:val="a5"/>
        <w:ind w:firstLine="709"/>
        <w:jc w:val="center"/>
        <w:rPr>
          <w:sz w:val="28"/>
        </w:rPr>
      </w:pPr>
    </w:p>
    <w:p w:rsidR="003129F9" w:rsidRDefault="003129F9" w:rsidP="003129F9">
      <w:pPr>
        <w:pStyle w:val="a5"/>
        <w:ind w:firstLine="709"/>
        <w:jc w:val="center"/>
      </w:pPr>
    </w:p>
    <w:p w:rsidR="003129F9" w:rsidRDefault="003129F9" w:rsidP="00312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В целях </w:t>
      </w:r>
      <w:proofErr w:type="gramStart"/>
      <w:r>
        <w:rPr>
          <w:rFonts w:ascii="Times New Roman" w:hAnsi="Times New Roman" w:cs="Times New Roman"/>
          <w:snapToGrid w:val="0"/>
          <w:sz w:val="28"/>
        </w:rPr>
        <w:t xml:space="preserve">совершенствования организации исполнения бюджета сельского </w:t>
      </w:r>
      <w:r w:rsidRPr="009C3278">
        <w:rPr>
          <w:rFonts w:ascii="Times New Roman" w:hAnsi="Times New Roman" w:cs="Times New Roman"/>
          <w:snapToGrid w:val="0"/>
          <w:sz w:val="28"/>
        </w:rPr>
        <w:t>поселения</w:t>
      </w:r>
      <w:proofErr w:type="gramEnd"/>
      <w:r w:rsidRPr="009C3278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DC71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32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327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C32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92BFF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129F9" w:rsidRPr="009C3278" w:rsidRDefault="003129F9" w:rsidP="003129F9">
      <w:pPr>
        <w:pStyle w:val="a3"/>
        <w:ind w:firstLine="540"/>
        <w:rPr>
          <w:sz w:val="28"/>
          <w:szCs w:val="28"/>
        </w:rPr>
      </w:pPr>
      <w:r w:rsidRPr="009C3278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9C3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в постановление главы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DC710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C92BFF">
        <w:rPr>
          <w:sz w:val="28"/>
          <w:szCs w:val="28"/>
        </w:rPr>
        <w:t xml:space="preserve">Республики Башкортостан от </w:t>
      </w:r>
      <w:r w:rsidRPr="00DC7101">
        <w:rPr>
          <w:bCs/>
          <w:sz w:val="28"/>
        </w:rPr>
        <w:t>28 декабря 2012 года № 56</w:t>
      </w:r>
      <w:r>
        <w:rPr>
          <w:b/>
          <w:bCs/>
          <w:sz w:val="28"/>
        </w:rPr>
        <w:t xml:space="preserve">     </w:t>
      </w:r>
      <w:r w:rsidRPr="009C3278">
        <w:rPr>
          <w:sz w:val="28"/>
          <w:szCs w:val="28"/>
        </w:rPr>
        <w:t>«Об утверждении</w:t>
      </w:r>
      <w:r>
        <w:rPr>
          <w:color w:val="FF00FF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</w:t>
      </w:r>
      <w:r w:rsidRPr="009C327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C3278">
        <w:rPr>
          <w:sz w:val="28"/>
          <w:szCs w:val="28"/>
        </w:rPr>
        <w:t xml:space="preserve"> учета бюджетных обязательств получателей средств 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DC710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C92BF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  <w:r w:rsidRPr="009C3278">
        <w:rPr>
          <w:sz w:val="28"/>
          <w:szCs w:val="28"/>
        </w:rPr>
        <w:t>.</w:t>
      </w:r>
    </w:p>
    <w:p w:rsidR="003129F9" w:rsidRPr="009C3278" w:rsidRDefault="003129F9" w:rsidP="003129F9">
      <w:pPr>
        <w:pStyle w:val="a3"/>
        <w:tabs>
          <w:tab w:val="num" w:pos="915"/>
        </w:tabs>
        <w:ind w:firstLine="540"/>
        <w:rPr>
          <w:sz w:val="28"/>
          <w:szCs w:val="28"/>
        </w:rPr>
      </w:pPr>
      <w:r w:rsidRPr="009C3278">
        <w:rPr>
          <w:sz w:val="28"/>
          <w:szCs w:val="28"/>
        </w:rPr>
        <w:t xml:space="preserve">2. Установить, что настоящее постановление вступает в силу с 1 февраля 2014 года. </w:t>
      </w:r>
    </w:p>
    <w:p w:rsidR="003129F9" w:rsidRDefault="003129F9" w:rsidP="0031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29F9" w:rsidRDefault="003129F9" w:rsidP="003129F9">
      <w:pPr>
        <w:pStyle w:val="a3"/>
        <w:tabs>
          <w:tab w:val="num" w:pos="915"/>
        </w:tabs>
        <w:ind w:firstLine="540"/>
        <w:rPr>
          <w:sz w:val="28"/>
        </w:rPr>
      </w:pPr>
    </w:p>
    <w:p w:rsidR="003129F9" w:rsidRDefault="003129F9" w:rsidP="003129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29F9" w:rsidRDefault="003129F9" w:rsidP="003129F9">
      <w:pPr>
        <w:jc w:val="both"/>
        <w:rPr>
          <w:snapToGrid w:val="0"/>
          <w:sz w:val="28"/>
        </w:rPr>
      </w:pPr>
    </w:p>
    <w:p w:rsidR="003129F9" w:rsidRDefault="003129F9" w:rsidP="003129F9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</w:t>
      </w:r>
    </w:p>
    <w:p w:rsidR="003129F9" w:rsidRDefault="003129F9" w:rsidP="003129F9">
      <w:pPr>
        <w:widowControl w:val="0"/>
        <w:autoSpaceDE w:val="0"/>
        <w:autoSpaceDN w:val="0"/>
        <w:adjustRightInd w:val="0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Чебенлинский</w:t>
      </w:r>
      <w:proofErr w:type="spellEnd"/>
      <w:r w:rsidRPr="00DC7101">
        <w:rPr>
          <w:snapToGrid w:val="0"/>
          <w:sz w:val="28"/>
        </w:rPr>
        <w:t xml:space="preserve">  сельсовет       </w:t>
      </w:r>
      <w:r>
        <w:rPr>
          <w:snapToGrid w:val="0"/>
          <w:sz w:val="28"/>
        </w:rPr>
        <w:t xml:space="preserve">                    </w:t>
      </w:r>
      <w:proofErr w:type="spellStart"/>
      <w:r>
        <w:rPr>
          <w:snapToGrid w:val="0"/>
          <w:sz w:val="28"/>
        </w:rPr>
        <w:t>В.Р.Минигалеев</w:t>
      </w:r>
      <w:proofErr w:type="spellEnd"/>
      <w:r w:rsidRPr="00DC7101">
        <w:rPr>
          <w:snapToGrid w:val="0"/>
          <w:sz w:val="28"/>
        </w:rPr>
        <w:t xml:space="preserve">        </w:t>
      </w:r>
    </w:p>
    <w:p w:rsidR="003129F9" w:rsidRDefault="003129F9" w:rsidP="003129F9">
      <w:pPr>
        <w:widowControl w:val="0"/>
        <w:autoSpaceDE w:val="0"/>
        <w:autoSpaceDN w:val="0"/>
        <w:adjustRightInd w:val="0"/>
        <w:rPr>
          <w:snapToGrid w:val="0"/>
          <w:sz w:val="28"/>
        </w:rPr>
      </w:pPr>
    </w:p>
    <w:p w:rsidR="003129F9" w:rsidRPr="00C92BFF" w:rsidRDefault="003129F9" w:rsidP="003129F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92BFF">
        <w:rPr>
          <w:sz w:val="28"/>
          <w:szCs w:val="28"/>
        </w:rPr>
        <w:lastRenderedPageBreak/>
        <w:t>Утвержден</w:t>
      </w:r>
    </w:p>
    <w:p w:rsidR="003129F9" w:rsidRPr="00C92BFF" w:rsidRDefault="003129F9" w:rsidP="003129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СП</w:t>
      </w:r>
    </w:p>
    <w:p w:rsidR="003129F9" w:rsidRPr="00C92BFF" w:rsidRDefault="003129F9" w:rsidP="003129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92BFF">
        <w:rPr>
          <w:sz w:val="28"/>
          <w:szCs w:val="28"/>
        </w:rPr>
        <w:t xml:space="preserve">от </w:t>
      </w:r>
      <w:r>
        <w:rPr>
          <w:sz w:val="28"/>
          <w:szCs w:val="28"/>
        </w:rPr>
        <w:t>17.02.</w:t>
      </w:r>
      <w:r w:rsidRPr="00C92BFF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C92BFF">
        <w:rPr>
          <w:sz w:val="28"/>
          <w:szCs w:val="28"/>
        </w:rPr>
        <w:t xml:space="preserve"> г. № </w:t>
      </w:r>
      <w:r w:rsidR="00AF2EE6">
        <w:rPr>
          <w:sz w:val="28"/>
          <w:szCs w:val="28"/>
        </w:rPr>
        <w:t>5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9F9" w:rsidRPr="00C92BFF" w:rsidRDefault="003129F9" w:rsidP="003129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9F9" w:rsidRPr="00C92BFF" w:rsidRDefault="003129F9" w:rsidP="003129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9F9" w:rsidRPr="00C92BFF" w:rsidRDefault="003129F9" w:rsidP="003129F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9"/>
      <w:bookmarkEnd w:id="0"/>
      <w:r w:rsidRPr="00C92BFF">
        <w:rPr>
          <w:bCs/>
          <w:sz w:val="28"/>
          <w:szCs w:val="28"/>
        </w:rPr>
        <w:t>Изменения,</w:t>
      </w:r>
    </w:p>
    <w:p w:rsidR="003129F9" w:rsidRPr="00F775B8" w:rsidRDefault="003129F9" w:rsidP="003129F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вносимые в </w:t>
      </w:r>
      <w:r w:rsidRPr="00C92B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главы сельского поселения </w:t>
      </w:r>
      <w:proofErr w:type="spellStart"/>
      <w:r>
        <w:rPr>
          <w:bCs/>
          <w:sz w:val="28"/>
          <w:szCs w:val="28"/>
        </w:rPr>
        <w:t>Чебенлинский</w:t>
      </w:r>
      <w:proofErr w:type="spellEnd"/>
      <w:r w:rsidRPr="00DC7101">
        <w:rPr>
          <w:bCs/>
          <w:sz w:val="28"/>
          <w:szCs w:val="28"/>
        </w:rPr>
        <w:t xml:space="preserve"> сельсовет</w:t>
      </w:r>
      <w:r>
        <w:rPr>
          <w:bCs/>
          <w:color w:val="FF00F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2BFF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от  </w:t>
      </w:r>
      <w:r w:rsidRPr="00DC7101">
        <w:rPr>
          <w:bCs/>
          <w:sz w:val="28"/>
        </w:rPr>
        <w:t>28 декабря 2012 года № 56</w:t>
      </w:r>
      <w:r>
        <w:rPr>
          <w:b/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proofErr w:type="gramStart"/>
      <w:r>
        <w:rPr>
          <w:bCs/>
          <w:sz w:val="28"/>
          <w:szCs w:val="28"/>
        </w:rPr>
        <w:t>Порядка учета бюджетных обязательств получателей средств бюджета 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Чебенлинский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.</w:t>
      </w:r>
    </w:p>
    <w:p w:rsidR="003129F9" w:rsidRPr="00F775B8" w:rsidRDefault="003129F9" w:rsidP="003129F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C92BFF">
        <w:rPr>
          <w:sz w:val="28"/>
          <w:szCs w:val="28"/>
        </w:rPr>
        <w:t xml:space="preserve">. В Порядке </w:t>
      </w:r>
      <w:proofErr w:type="gramStart"/>
      <w:r w:rsidRPr="00C92BFF">
        <w:rPr>
          <w:sz w:val="28"/>
          <w:szCs w:val="28"/>
        </w:rPr>
        <w:t xml:space="preserve">учета бюджетных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DC710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C92BFF">
        <w:rPr>
          <w:sz w:val="28"/>
          <w:szCs w:val="28"/>
        </w:rPr>
        <w:t xml:space="preserve">Республики Башкортостан, утвержденном </w:t>
      </w:r>
      <w:r>
        <w:rPr>
          <w:sz w:val="28"/>
          <w:szCs w:val="28"/>
        </w:rPr>
        <w:t>постановлением главы</w:t>
      </w:r>
      <w:r w:rsidRPr="00C92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DC710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C92BFF">
        <w:rPr>
          <w:sz w:val="28"/>
          <w:szCs w:val="28"/>
        </w:rPr>
        <w:t xml:space="preserve">Республики Башкортостан от </w:t>
      </w:r>
      <w:r w:rsidRPr="00DC7101">
        <w:rPr>
          <w:bCs/>
          <w:sz w:val="28"/>
        </w:rPr>
        <w:t>28 декабря 2012 года № 56</w:t>
      </w:r>
      <w:r w:rsidRPr="00DC7101">
        <w:rPr>
          <w:sz w:val="28"/>
          <w:szCs w:val="28"/>
        </w:rPr>
        <w:t>:</w:t>
      </w:r>
      <w:r>
        <w:rPr>
          <w:color w:val="FF00FF"/>
          <w:sz w:val="28"/>
          <w:szCs w:val="28"/>
        </w:rPr>
        <w:t xml:space="preserve"> </w:t>
      </w:r>
    </w:p>
    <w:p w:rsidR="003129F9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92BFF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Порядка </w:t>
      </w:r>
      <w:r w:rsidRPr="00C92BFF">
        <w:rPr>
          <w:sz w:val="28"/>
          <w:szCs w:val="28"/>
        </w:rPr>
        <w:t xml:space="preserve">слова «электронном </w:t>
      </w:r>
      <w:proofErr w:type="gramStart"/>
      <w:r w:rsidRPr="00C92BFF">
        <w:rPr>
          <w:sz w:val="28"/>
          <w:szCs w:val="28"/>
        </w:rPr>
        <w:t>виде</w:t>
      </w:r>
      <w:proofErr w:type="gramEnd"/>
      <w:r w:rsidRPr="00C92BFF">
        <w:rPr>
          <w:sz w:val="28"/>
          <w:szCs w:val="28"/>
        </w:rPr>
        <w:t>» заменить словами «электронной форме»;</w:t>
      </w:r>
    </w:p>
    <w:p w:rsidR="003129F9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92BFF">
        <w:rPr>
          <w:sz w:val="28"/>
          <w:szCs w:val="28"/>
        </w:rPr>
        <w:t>в пункте 1.4 слово «цифровые» исключить;</w:t>
      </w:r>
    </w:p>
    <w:p w:rsidR="003129F9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Порядка </w:t>
      </w:r>
      <w:r w:rsidRPr="00C92BFF">
        <w:rPr>
          <w:sz w:val="28"/>
          <w:szCs w:val="28"/>
        </w:rPr>
        <w:t>аббревиатуру «ЭЦП» заменить аббревиатурой «ЭП»;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дополнить пунктом 1.5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«1.5.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3129F9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2.1 </w:t>
      </w:r>
      <w:r w:rsidRPr="00C92BF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3129F9" w:rsidRPr="00847043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847043">
        <w:rPr>
          <w:sz w:val="28"/>
          <w:szCs w:val="28"/>
        </w:rPr>
        <w:t xml:space="preserve">Основанием для постановки на учет бюджетных обязательств </w:t>
      </w:r>
      <w:r>
        <w:rPr>
          <w:sz w:val="28"/>
          <w:szCs w:val="28"/>
        </w:rPr>
        <w:br/>
      </w:r>
      <w:r w:rsidRPr="00847043">
        <w:rPr>
          <w:sz w:val="28"/>
          <w:szCs w:val="28"/>
        </w:rPr>
        <w:t xml:space="preserve">являются </w:t>
      </w:r>
      <w:hyperlink w:anchor="Par361" w:history="1">
        <w:r w:rsidRPr="00847043">
          <w:rPr>
            <w:sz w:val="28"/>
            <w:szCs w:val="28"/>
          </w:rPr>
          <w:t>Сведения</w:t>
        </w:r>
      </w:hyperlink>
      <w:r w:rsidRPr="00847043">
        <w:rPr>
          <w:sz w:val="28"/>
          <w:szCs w:val="28"/>
        </w:rPr>
        <w:t xml:space="preserve"> о принятом бюджетном обязательстве (далее - Сведения об обязательстве), оформленные по форме согласно приложению </w:t>
      </w:r>
      <w:r>
        <w:rPr>
          <w:sz w:val="28"/>
          <w:szCs w:val="28"/>
        </w:rPr>
        <w:t>№</w:t>
      </w:r>
      <w:r w:rsidRPr="00847043">
        <w:rPr>
          <w:sz w:val="28"/>
          <w:szCs w:val="28"/>
        </w:rPr>
        <w:t xml:space="preserve"> 1 к настоящему Порядку, представленные получателями бюджетных средств в </w:t>
      </w:r>
      <w:r>
        <w:rPr>
          <w:sz w:val="28"/>
          <w:szCs w:val="28"/>
        </w:rPr>
        <w:t>Администрацию</w:t>
      </w:r>
      <w:r w:rsidRPr="00847043">
        <w:rPr>
          <w:sz w:val="28"/>
          <w:szCs w:val="28"/>
        </w:rPr>
        <w:t xml:space="preserve"> в случае, если бюджетное обязательство возникло </w:t>
      </w:r>
      <w:proofErr w:type="gramStart"/>
      <w:r w:rsidRPr="00847043">
        <w:rPr>
          <w:sz w:val="28"/>
          <w:szCs w:val="28"/>
        </w:rPr>
        <w:t>из</w:t>
      </w:r>
      <w:proofErr w:type="gramEnd"/>
      <w:r w:rsidRPr="00847043">
        <w:rPr>
          <w:sz w:val="28"/>
          <w:szCs w:val="28"/>
        </w:rPr>
        <w:t>:</w:t>
      </w:r>
    </w:p>
    <w:p w:rsidR="003129F9" w:rsidRPr="00847043" w:rsidRDefault="003129F9" w:rsidP="0031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r w:rsidRPr="00847043">
        <w:rPr>
          <w:sz w:val="28"/>
          <w:szCs w:val="28"/>
        </w:rPr>
        <w:t xml:space="preserve"> контракта на поставку товаров, выполнение работ, оказание услуг для государственных нужд, сведения о котором подлежат включению в определенный законодательством о размещении заказов на поставки товаров, выполнение работ и оказание услуг для государственных и муниципальных нужд реестр контрактов (далее - соответственно </w:t>
      </w:r>
      <w:r>
        <w:rPr>
          <w:sz w:val="28"/>
          <w:szCs w:val="28"/>
        </w:rPr>
        <w:t>муниципаль</w:t>
      </w:r>
      <w:r w:rsidRPr="00847043">
        <w:rPr>
          <w:sz w:val="28"/>
          <w:szCs w:val="28"/>
        </w:rPr>
        <w:t>ный контракт, реестр контрактов);</w:t>
      </w:r>
      <w:proofErr w:type="gramEnd"/>
    </w:p>
    <w:p w:rsidR="003129F9" w:rsidRDefault="003129F9" w:rsidP="0031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043">
        <w:rPr>
          <w:sz w:val="28"/>
          <w:szCs w:val="28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r:id="rId4" w:history="1">
        <w:r w:rsidRPr="00847043">
          <w:rPr>
            <w:sz w:val="28"/>
            <w:szCs w:val="28"/>
          </w:rPr>
          <w:t>пункта 2.2</w:t>
        </w:r>
      </w:hyperlink>
      <w:r w:rsidRPr="00847043">
        <w:rPr>
          <w:sz w:val="28"/>
          <w:szCs w:val="28"/>
        </w:rPr>
        <w:t xml:space="preserve"> настоящего Порядка</w:t>
      </w:r>
      <w:proofErr w:type="gramStart"/>
      <w:r w:rsidRPr="00847043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129F9" w:rsidRPr="00D1289A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128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соглашения о предоставлении бюджетных инвестиций юридическому лицу, заключенных в соответствии с законодательством Российской Федерации и Республики Башкортостан (далее - соглашение)                в целях реализации республиканской адресной инвестиционной программы (далее – РАИП)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                              и автомобильных дорог общего пользования местного значения (далее – </w:t>
      </w:r>
      <w:proofErr w:type="spellStart"/>
      <w:r w:rsidRPr="00D1289A">
        <w:rPr>
          <w:rFonts w:ascii="Times New Roman" w:hAnsi="Times New Roman" w:cs="Times New Roman"/>
          <w:sz w:val="28"/>
          <w:szCs w:val="28"/>
          <w:lang w:val="ru-RU"/>
        </w:rPr>
        <w:t>Терзаказ</w:t>
      </w:r>
      <w:proofErr w:type="spellEnd"/>
      <w:r w:rsidRPr="00D1289A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3129F9" w:rsidRPr="00D1289A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89A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обязательстве представляются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D128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не позднее шести рабочих дней со дня заключения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1289A">
        <w:rPr>
          <w:rFonts w:ascii="Times New Roman" w:hAnsi="Times New Roman" w:cs="Times New Roman"/>
          <w:sz w:val="28"/>
          <w:szCs w:val="28"/>
          <w:lang w:val="ru-RU"/>
        </w:rPr>
        <w:t>ного контракта (договора, соглашения), на основании которого принято бюджетное обязательство (далее – документ-основание).</w:t>
      </w:r>
    </w:p>
    <w:p w:rsidR="003129F9" w:rsidRPr="00D1289A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89A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обязательстве представляются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D128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с приложением документа-основания в форме электронной копии бумажного документа, созданной посредством его сканирования, подтвержденных электронной подписью уполномоченного лица получателя бюджетных средств (далее - электронная копия документа-основания).</w:t>
      </w:r>
    </w:p>
    <w:p w:rsidR="003129F9" w:rsidRPr="00D1289A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89A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технической возможности представления электронной копии документа-основания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D1289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документ-основание на бумажном носителе</w:t>
      </w:r>
      <w:proofErr w:type="gramStart"/>
      <w:r w:rsidRPr="00D1289A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в пункте 2.2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первый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«2.2.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обязательствам),                                   в соответствии с договором, оформление в письменной форме по которому законодательством Российской Федерации не требуется, а также                             в соответствии с договором на оказание услуг, выполнение работ, заключенным получателем бюджетных средств с физическим лицом,                      не являющимся индивидуальным предпринимателем, принимаются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к учету на основании принятых к исполнению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D457C6">
          <w:rPr>
            <w:rFonts w:ascii="Times New Roman" w:hAnsi="Times New Roman" w:cs="Times New Roman"/>
            <w:sz w:val="28"/>
            <w:szCs w:val="28"/>
            <w:lang w:val="ru-RU"/>
          </w:rPr>
          <w:t>Порядком</w:t>
        </w:r>
      </w:hyperlink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санкционирования оплаты денежных обязательств получателей бюджетных средств и администраторов источников финансирования дефицита бюджета (далее - Порядок санкционирования), и в срок, установленный Порядком санкционирования для проверки указанных документов.»;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второй исключить;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дополнить абзацами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социальными выплатами населению;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предоставлением межбюджетных трансфертов;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предоставлением платежей, взносов, безвозмездных перечислений субъектам международного права;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обслуживанием государственного (муниципального) долга;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обеспечением выполнения функций казенных учреждений                         (за исключением бюджетных обязательств по поставкам товаров, выполнению работ, оказанию услуг, аренде).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             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расчеты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осуществляются наличными деньгами.»;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в пункте 2.3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восьмой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«суммы бюджетного обязательства в валюте, в которой принято бюджетное обязательство по документу-основанию (далее – валюта бюджетного обязательства)»;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абзаце девятом слова «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ного контракта, иного договора» заменить словами «бюджетного обязательства»;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абзаце десятом слова «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ного контракта, иного договора» заменить словами «документа-основания»;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одиннадцатый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«наименования (наименований) и банковских реквизитов физического или юридического лица, перед которым у получателя бюджетных средств                в соответствии с условиями документа-основания возникло бюджетное обязательство, и (или) администратора доходов бюджета, если                                     в соответствии с документом-основанием у получателя бюджетных средств возникло обязательство по уплате налогов, сборов и иных платежей                           в бюджеты бюджетной системы Российской Федерации;»;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двенадцатый изложить в следующей редакции:</w:t>
      </w:r>
    </w:p>
    <w:p w:rsidR="003129F9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«графика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обязательств,         и с разбивкой по месяцам для обязательств, принятых в рамках текущего финансового года)»;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F8C">
        <w:rPr>
          <w:rFonts w:ascii="Times New Roman" w:hAnsi="Times New Roman" w:cs="Times New Roman"/>
          <w:sz w:val="28"/>
          <w:szCs w:val="28"/>
          <w:lang w:val="ru-RU"/>
        </w:rPr>
        <w:t>7) в пункте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2.4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абзаце первом слова «установленным пунктом 5.2» заменить словами «установленным пунктами 5.1 и 5.2»;</w:t>
      </w:r>
    </w:p>
    <w:p w:rsidR="003129F9" w:rsidRDefault="003129F9" w:rsidP="0031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7C6">
        <w:rPr>
          <w:sz w:val="28"/>
          <w:szCs w:val="28"/>
        </w:rPr>
        <w:t>абзац тринадцатый изложить в следующей редакции</w:t>
      </w:r>
      <w:r>
        <w:rPr>
          <w:sz w:val="28"/>
          <w:szCs w:val="28"/>
        </w:rPr>
        <w:t xml:space="preserve">:  </w:t>
      </w:r>
    </w:p>
    <w:p w:rsidR="003129F9" w:rsidRPr="00B901C6" w:rsidRDefault="003129F9" w:rsidP="0031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01C6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Pr="00B901C6">
        <w:rPr>
          <w:sz w:val="28"/>
          <w:szCs w:val="28"/>
        </w:rPr>
        <w:t xml:space="preserve"> осуществляет проверку соответствия информации, содержащейся в </w:t>
      </w:r>
      <w:hyperlink r:id="rId6" w:history="1">
        <w:r w:rsidRPr="00B901C6">
          <w:rPr>
            <w:sz w:val="28"/>
            <w:szCs w:val="28"/>
          </w:rPr>
          <w:t>Сведениях</w:t>
        </w:r>
      </w:hyperlink>
      <w:r w:rsidRPr="00B901C6">
        <w:rPr>
          <w:sz w:val="28"/>
          <w:szCs w:val="28"/>
        </w:rPr>
        <w:t xml:space="preserve"> об обязательстве, сведениям о государственном 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графах 2, 3, 6, 7 </w:t>
      </w:r>
      <w:hyperlink r:id="rId7" w:history="1">
        <w:r w:rsidRPr="00B901C6">
          <w:rPr>
            <w:sz w:val="28"/>
            <w:szCs w:val="28"/>
          </w:rPr>
          <w:t>раздела 1</w:t>
        </w:r>
      </w:hyperlink>
      <w:r w:rsidRPr="00B901C6">
        <w:rPr>
          <w:sz w:val="28"/>
          <w:szCs w:val="28"/>
        </w:rPr>
        <w:t xml:space="preserve"> «Реквизиты документа-основания», 2, 3, 5 </w:t>
      </w:r>
      <w:hyperlink r:id="rId8" w:history="1">
        <w:r w:rsidRPr="00B901C6">
          <w:rPr>
            <w:sz w:val="28"/>
            <w:szCs w:val="28"/>
          </w:rPr>
          <w:t>раздела 2</w:t>
        </w:r>
      </w:hyperlink>
      <w:r w:rsidRPr="00B901C6">
        <w:rPr>
          <w:sz w:val="28"/>
          <w:szCs w:val="28"/>
        </w:rPr>
        <w:t xml:space="preserve"> «Реквизиты контрагента», 1 - 6 </w:t>
      </w:r>
      <w:hyperlink r:id="rId9" w:history="1">
        <w:r w:rsidRPr="00B901C6">
          <w:rPr>
            <w:sz w:val="28"/>
            <w:szCs w:val="28"/>
          </w:rPr>
          <w:t>раздела 4</w:t>
        </w:r>
      </w:hyperlink>
      <w:r w:rsidRPr="00B901C6">
        <w:rPr>
          <w:sz w:val="28"/>
          <w:szCs w:val="28"/>
        </w:rPr>
        <w:t xml:space="preserve"> «Дополнительные реквизиты обязательства, Сведений об обязательстве»;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lastRenderedPageBreak/>
        <w:t>6) после пункта 2.5 дополнить пунктами 2.5.1, 2.5.2, 2.5.3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«2.5.1.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наряду с проверкой, предусмотренной пунктами 2.3 - 2.5 настоящего Порядка, осуществляет проверку соответствия информации, содержащейся в Сведениях об обязательстве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1 - 6, 9 - 10 раздела 1 «Реквизиты документа-основания», 1 - 3 раздела 2 «Реквизиты контрагента», 4, 17, 19 - 23 раздела                                5 «Расшифровка обязательства» Сведений об обязательстве.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2.5.2.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При проверке Сведений об обязательстве по документу-основанию, заключенному в целях реализации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 осуществляет проверку соответствия информации, содержащейся в Сведениях об обязательстве, данным                      об объектах капитального строительства, объектах недвижимости, мероприятиях (укрупненных инвестиционных проектах), включенных                     в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>, доведенным в соответствии с Порядком составления и ведения сводной бюджетной росписи бюджета Республики Башкортостан         и бюджетных росписей главных распорядителей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средств бюджета Республики Башкортостан (главных администраторов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источников финансирования дефицита бюджета Республики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Башкортостан), утвержденным приказом Министерства финансов Республики Башкортостан от 25 декабря </w:t>
      </w:r>
      <w:smartTag w:uri="urn:schemas-microsoft-com:office:smarttags" w:element="metricconverter">
        <w:smartTagPr>
          <w:attr w:name="ProductID" w:val="2009 г"/>
        </w:smartTagPr>
        <w:r w:rsidRPr="00D457C6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D457C6">
        <w:rPr>
          <w:rFonts w:ascii="Times New Roman" w:hAnsi="Times New Roman" w:cs="Times New Roman"/>
          <w:sz w:val="28"/>
          <w:szCs w:val="28"/>
          <w:lang w:val="ru-RU"/>
        </w:rPr>
        <w:t>. № 52 (зарегистрирован в Министерстве юстиции Республики Башкортостан 2 февраля 2010 года № 883), в части: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наименования получателя средств бюджета (государственного заказчика);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объекта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уникального кода, присвоенного объекту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кодов классификации расходов бюджета в разрезе кодов объектов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2.5.3.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проверку соответствия информации, содержащейся в Сведениях об обязательстве, сведениям 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графах 2, 3, 6, 7 раздела 1 «Реквизиты документа-основания»», 2, 3, 5 раздела 2 «Реквизиты контрагента», 1 - 6 раздела 4 «Дополнительные реквизиты обязательства, сформированного на основе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контракта»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пункт 2.6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«2.6. Сведения об обязательстве, представленные получателем бюджетных средств 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>, подлежат проверке уполномоченным работником Министерства в течение двух рабочих дней после дня их представления.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Если Сведения об обязательстве не соответствуют требованиям, установленным пунктами 2.3 - 2.5.3 настоящего Порядка,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двух рабочих дней после дня представления получателем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бюджетных средств Сведений об обязательстве направляет Протокол                с указанием причин возврата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абзаце втором пункта 2.7 слова «на текущий финансовый год» заменить словами «отдельно для текущего финансового года, для первого              и для второго года планового периода»;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пункте 2.8: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абзаце первом слова «установленным пунктами 2.3 - 2.5» заменить словами «установленным пунктами 2.3 - 2.5.3»;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абзацы с третьего по восьмой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«Учетный номер бюджетного обязательства имеет следующую структуру, состоящую из восемнадцати разрядов: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942"/>
        <w:gridCol w:w="398"/>
        <w:gridCol w:w="372"/>
        <w:gridCol w:w="348"/>
        <w:gridCol w:w="366"/>
        <w:gridCol w:w="294"/>
        <w:gridCol w:w="336"/>
        <w:gridCol w:w="322"/>
        <w:gridCol w:w="391"/>
        <w:gridCol w:w="451"/>
        <w:gridCol w:w="445"/>
        <w:gridCol w:w="448"/>
        <w:gridCol w:w="448"/>
        <w:gridCol w:w="448"/>
        <w:gridCol w:w="420"/>
        <w:gridCol w:w="462"/>
        <w:gridCol w:w="398"/>
        <w:gridCol w:w="473"/>
      </w:tblGrid>
      <w:tr w:rsidR="003129F9" w:rsidRPr="00D457C6" w:rsidTr="00B8489A"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9" w:rsidRPr="00D457C6" w:rsidRDefault="003129F9" w:rsidP="00B8489A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разря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F9" w:rsidRPr="00D457C6" w:rsidRDefault="003129F9" w:rsidP="00B8489A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</w:p>
          <w:p w:rsidR="003129F9" w:rsidRPr="00D457C6" w:rsidRDefault="003129F9" w:rsidP="00B8489A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spellEnd"/>
          </w:p>
          <w:p w:rsidR="003129F9" w:rsidRPr="00D457C6" w:rsidRDefault="003129F9" w:rsidP="00B8489A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proofErr w:type="spellEnd"/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9" w:rsidRPr="00D457C6" w:rsidRDefault="003129F9" w:rsidP="00B8489A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по Сводному реестру</w:t>
            </w: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получателя средств    бюджета Республики   </w:t>
            </w: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Башкортостан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9" w:rsidRPr="00D457C6" w:rsidRDefault="003129F9" w:rsidP="00B8489A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постановки </w:t>
            </w: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 учет     </w:t>
            </w: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бюджетного   </w:t>
            </w:r>
            <w:r w:rsidRPr="00D4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обязательства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9" w:rsidRPr="00D457C6" w:rsidRDefault="003129F9" w:rsidP="00B8489A">
            <w:pPr>
              <w:pStyle w:val="2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45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proofErr w:type="spellEnd"/>
          </w:p>
        </w:tc>
      </w:tr>
      <w:tr w:rsidR="003129F9" w:rsidRPr="00D457C6" w:rsidTr="00B8489A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proofErr w:type="spellStart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F9" w:rsidRPr="00D457C6" w:rsidRDefault="003129F9" w:rsidP="00B8489A">
            <w:pPr>
              <w:pStyle w:val="2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  <w:r w:rsidRPr="00D457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 разряд - вид бюджетного обязательства, который принимает следующие значения: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1 - бюджетные обязательства, поставленные на учет на основании государственных контрактов;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2 - бюджетные обязательства, поставленные на учет на основании договоров, соглашений;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3 - бюджетные обязательства, поставленные на учет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              в соответствии с пунктом 2.2 настоящего Порядка;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4 - бюджетные обязательства, возникающие на основании исполнительных документов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пункт 2.1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«2.1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. Бюджетные обязательства, поставленные на учет в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– Журнал действующих обязательств), по форме согласно приложению № 3 к настоящему порядку учета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пункте 2.1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в абзаце первом слова «по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ного контрактам и иным договорам» заменить словами «по документам-основаниям»;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второй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«Заявка на внесение изменений в обязательство представляется                не позднее шести рабочих дней со дня внесения изменений в документ-основание с приложением документа, предусматривающего внесение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изменений в документ-основание (далее - изменение к документу-основанию)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Pr="00D457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абзаце третьем слова «со дня представления» заменить словами «после дня представления», слова «в пунктах 2.4 – 2.5» заменить словами «в пунктах 2.3 – 2.5.3»;</w:t>
      </w:r>
    </w:p>
    <w:p w:rsidR="003129F9" w:rsidRPr="007B006E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0C8">
        <w:rPr>
          <w:rFonts w:ascii="Times New Roman" w:hAnsi="Times New Roman" w:cs="Times New Roman"/>
          <w:sz w:val="28"/>
          <w:szCs w:val="28"/>
          <w:lang w:val="ru-RU"/>
        </w:rPr>
        <w:t>14) в пункте 2.14</w:t>
      </w:r>
      <w:r w:rsidRPr="00B070C8">
        <w:rPr>
          <w:rFonts w:ascii="Times New Roman" w:hAnsi="Times New Roman" w:cs="Times New Roman"/>
          <w:color w:val="FF00FF"/>
          <w:sz w:val="28"/>
          <w:szCs w:val="28"/>
          <w:lang w:val="ru-RU"/>
        </w:rPr>
        <w:t xml:space="preserve"> </w:t>
      </w:r>
      <w:r w:rsidRPr="00B070C8">
        <w:rPr>
          <w:rFonts w:ascii="Times New Roman" w:hAnsi="Times New Roman" w:cs="Times New Roman"/>
          <w:sz w:val="28"/>
          <w:szCs w:val="28"/>
          <w:lang w:val="ru-RU"/>
        </w:rPr>
        <w:t>в абзаце первом слова</w:t>
      </w:r>
      <w:r w:rsidRPr="007B006E">
        <w:rPr>
          <w:rFonts w:ascii="Times New Roman" w:hAnsi="Times New Roman" w:cs="Times New Roman"/>
          <w:sz w:val="28"/>
          <w:szCs w:val="28"/>
          <w:lang w:val="ru-RU"/>
        </w:rPr>
        <w:t xml:space="preserve"> «текущего финансового года» заменить словами «отдельно для текущего финансового года, для первого      и для второго года планового периода»;</w:t>
      </w:r>
    </w:p>
    <w:p w:rsidR="003129F9" w:rsidRPr="00B901C6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  <w:r w:rsidRPr="00C92BFF">
        <w:rPr>
          <w:sz w:val="28"/>
          <w:szCs w:val="28"/>
        </w:rPr>
        <w:t xml:space="preserve">слова «или утвержденных сметных назначений» и в абзаце </w:t>
      </w:r>
      <w:r>
        <w:rPr>
          <w:sz w:val="28"/>
          <w:szCs w:val="28"/>
        </w:rPr>
        <w:t>второ</w:t>
      </w:r>
      <w:r w:rsidRPr="00C92BFF">
        <w:rPr>
          <w:sz w:val="28"/>
          <w:szCs w:val="28"/>
        </w:rPr>
        <w:t xml:space="preserve">м слова «или утвержденные сметные назначения» исключить; 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пункте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после слов «результате проверки» дополнить словами «Заявки на внесение изменений»;</w:t>
      </w:r>
    </w:p>
    <w:p w:rsidR="003129F9" w:rsidRPr="00B070C8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пункте 2.1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в абзаце первом слова «завершением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ного контракта или иного договора» заменить словами «исполнением (расторжением) документа - основания»;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после абзаца первого дополнить абзацем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«Заявка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дополнить абзацем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«В случае ликвидации получателя бюджетных средств либо изменения типа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ного казенного учреждения,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пункте 2.1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абзацах первом и втором слова «по государственным контрактам                  и иным договорам» заменить словами «по документам-основаниям»;</w:t>
      </w:r>
    </w:p>
    <w:p w:rsidR="003129F9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в абзаце третьем слова «предусмотренном в </w:t>
      </w:r>
      <w:hyperlink w:anchor="Par74" w:history="1">
        <w:r w:rsidRPr="00D457C6">
          <w:rPr>
            <w:rFonts w:ascii="Times New Roman" w:hAnsi="Times New Roman" w:cs="Times New Roman"/>
            <w:sz w:val="28"/>
            <w:szCs w:val="28"/>
            <w:lang w:val="ru-RU"/>
          </w:rPr>
          <w:t>пунктах 2.4</w:t>
        </w:r>
      </w:hyperlink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w:anchor="Par86" w:history="1">
        <w:r w:rsidRPr="00D457C6">
          <w:rPr>
            <w:rFonts w:ascii="Times New Roman" w:hAnsi="Times New Roman" w:cs="Times New Roman"/>
            <w:sz w:val="28"/>
            <w:szCs w:val="28"/>
            <w:lang w:val="ru-RU"/>
          </w:rPr>
          <w:t>2.5</w:t>
        </w:r>
      </w:hyperlink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» заменить словами «предусмотренном в </w:t>
      </w:r>
      <w:hyperlink w:anchor="Par74" w:history="1">
        <w:r w:rsidRPr="00D457C6">
          <w:rPr>
            <w:rFonts w:ascii="Times New Roman" w:hAnsi="Times New Roman" w:cs="Times New Roman"/>
            <w:sz w:val="28"/>
            <w:szCs w:val="28"/>
            <w:lang w:val="ru-RU"/>
          </w:rPr>
          <w:t>пунктах 2.3</w:t>
        </w:r>
      </w:hyperlink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w:anchor="Par86" w:history="1">
        <w:r w:rsidRPr="00D457C6">
          <w:rPr>
            <w:rFonts w:ascii="Times New Roman" w:hAnsi="Times New Roman" w:cs="Times New Roman"/>
            <w:sz w:val="28"/>
            <w:szCs w:val="28"/>
            <w:lang w:val="ru-RU"/>
          </w:rPr>
          <w:t>2.5</w:t>
        </w:r>
      </w:hyperlink>
      <w:r w:rsidRPr="00D457C6">
        <w:rPr>
          <w:rFonts w:ascii="Times New Roman" w:hAnsi="Times New Roman" w:cs="Times New Roman"/>
          <w:sz w:val="28"/>
          <w:szCs w:val="28"/>
          <w:lang w:val="ru-RU"/>
        </w:rPr>
        <w:t>.3»;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в пункте 4.1: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в абзаце первом слова «По запросу» заменить словами «Ежемесячно           и по запросу»;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второй изложить в следующей редакции: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«Справка об исполнении обязательств формируется по состоянию          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года. Справка об исполнении обязательств может включать информацию об исполнении принятых на учет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бюджетных обязательствах участников бюджетного процесса, которым получатель бюджетных средств передал свои полномочия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) после пункта 4.5 дополнить пунктом 4.5.1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«4.5.1.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по запросу главного распорядителя (распорядителя) бюджетных средств обеспечивает представление Отчета          об исполнении бюджетных обязательств, принятых в целях реализации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, по форме согласно приложению № 11 к настоящему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Порядку (далее - Отчет об исполнении обязательств по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Терзаказу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исполнении обязательств по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Терзаказу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</w:t>
      </w:r>
      <w:proofErr w:type="gramStart"/>
      <w:r w:rsidRPr="00D457C6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3129F9" w:rsidRDefault="003129F9" w:rsidP="00312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85367">
        <w:rPr>
          <w:rFonts w:ascii="Times New Roman" w:hAnsi="Times New Roman" w:cs="Times New Roman"/>
          <w:sz w:val="28"/>
          <w:szCs w:val="28"/>
          <w:lang w:val="ru-RU"/>
        </w:rPr>
        <w:t>) в пункте 5.2</w:t>
      </w:r>
      <w:r w:rsidRPr="00B85367">
        <w:rPr>
          <w:sz w:val="28"/>
          <w:szCs w:val="28"/>
          <w:lang w:val="ru-RU"/>
        </w:rPr>
        <w:t xml:space="preserve">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абзац второй изложить в следующей редакции:</w:t>
      </w:r>
    </w:p>
    <w:p w:rsidR="003129F9" w:rsidRPr="00B85367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367">
        <w:rPr>
          <w:rFonts w:ascii="Times New Roman" w:hAnsi="Times New Roman" w:cs="Times New Roman"/>
          <w:sz w:val="28"/>
          <w:szCs w:val="28"/>
          <w:lang w:val="ru-RU"/>
        </w:rPr>
        <w:t>«В разделе 1 "Реквизиты документа-основания" отражаются реквизиты документа-основания»;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 xml:space="preserve">в абзаце одиннадцатом после слов «Если документом-основанием </w:t>
      </w:r>
      <w:r>
        <w:rPr>
          <w:sz w:val="28"/>
          <w:szCs w:val="28"/>
        </w:rPr>
        <w:br/>
      </w:r>
      <w:r w:rsidRPr="00C92BFF">
        <w:rPr>
          <w:sz w:val="28"/>
          <w:szCs w:val="28"/>
        </w:rPr>
        <w:t>не установлен авансовый платеж в процентах от суммы обязательства» дополнить словами «графа 9 не заполняется»;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Pr="00C92BFF">
        <w:rPr>
          <w:sz w:val="28"/>
          <w:szCs w:val="28"/>
        </w:rPr>
        <w:t xml:space="preserve"> тридцать седьмой</w:t>
      </w:r>
      <w:r>
        <w:rPr>
          <w:sz w:val="28"/>
          <w:szCs w:val="28"/>
        </w:rPr>
        <w:t>,</w:t>
      </w:r>
      <w:r w:rsidRPr="00C92BFF">
        <w:rPr>
          <w:sz w:val="28"/>
          <w:szCs w:val="28"/>
        </w:rPr>
        <w:t xml:space="preserve"> сорок первый исключить;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тридцать восьмом слова «запрос котировок – 5» заменить словами «запрос котировок – 4»;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тридцать девятом слова «предварительный отбор и запрос котировок при чрезвычайных ситуациях – 6» заменить словами «предварительный отбор и запрос котировок при чрезвычайных ситуациях-5»;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сороковом слова «единственный поставщик (исполнитель,</w:t>
      </w:r>
      <w:r>
        <w:rPr>
          <w:sz w:val="28"/>
          <w:szCs w:val="28"/>
        </w:rPr>
        <w:t xml:space="preserve"> </w:t>
      </w:r>
      <w:r w:rsidRPr="00C92BFF">
        <w:rPr>
          <w:sz w:val="28"/>
          <w:szCs w:val="28"/>
        </w:rPr>
        <w:t>подрядчик) – 7» заменить словами «единственный поставщик (исполнитель,</w:t>
      </w:r>
      <w:r>
        <w:rPr>
          <w:sz w:val="28"/>
          <w:szCs w:val="28"/>
        </w:rPr>
        <w:t xml:space="preserve"> </w:t>
      </w:r>
      <w:r w:rsidRPr="00C92BFF">
        <w:rPr>
          <w:sz w:val="28"/>
          <w:szCs w:val="28"/>
        </w:rPr>
        <w:t>подрядчик) – 6»;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сорок втором слова «или торгов на товарной бирже» исключить;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сорок восьмом слова «в графе 3» в первом упоминании заменить словами «в графе 4»;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 xml:space="preserve">в абзаце сорок девятом слова «в графах с 4 по 15» заменить словами </w:t>
      </w:r>
      <w:r>
        <w:rPr>
          <w:sz w:val="28"/>
          <w:szCs w:val="28"/>
        </w:rPr>
        <w:br/>
      </w:r>
      <w:r w:rsidRPr="00C92BFF">
        <w:rPr>
          <w:sz w:val="28"/>
          <w:szCs w:val="28"/>
        </w:rPr>
        <w:t>«в графах с 5 по 16»;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пятидесятом слова «в графе 16» заменить словами «в графе 17»;</w:t>
      </w:r>
    </w:p>
    <w:p w:rsidR="003129F9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BFF">
        <w:rPr>
          <w:sz w:val="28"/>
          <w:szCs w:val="28"/>
        </w:rPr>
        <w:t>в абзаце пятьдесят первом слова «в графе 17» заменить словами «в графе 18»;</w:t>
      </w:r>
    </w:p>
    <w:p w:rsidR="003129F9" w:rsidRPr="00B85367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367">
        <w:rPr>
          <w:rFonts w:ascii="Times New Roman" w:hAnsi="Times New Roman" w:cs="Times New Roman"/>
          <w:sz w:val="28"/>
          <w:szCs w:val="28"/>
          <w:lang w:val="ru-RU"/>
        </w:rPr>
        <w:t>дополнить абзацем следующего содержания:</w:t>
      </w:r>
    </w:p>
    <w:p w:rsidR="003129F9" w:rsidRPr="00B85367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367">
        <w:rPr>
          <w:rFonts w:ascii="Times New Roman" w:hAnsi="Times New Roman" w:cs="Times New Roman"/>
          <w:sz w:val="28"/>
          <w:szCs w:val="28"/>
          <w:lang w:val="ru-RU"/>
        </w:rPr>
        <w:t xml:space="preserve">«В графах 24, 25 указываются соответственно наименование и код объекта РАИП или </w:t>
      </w:r>
      <w:proofErr w:type="spellStart"/>
      <w:r w:rsidRPr="00B85367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B85367">
        <w:rPr>
          <w:rFonts w:ascii="Times New Roman" w:hAnsi="Times New Roman" w:cs="Times New Roman"/>
          <w:sz w:val="28"/>
          <w:szCs w:val="28"/>
          <w:lang w:val="ru-RU"/>
        </w:rPr>
        <w:t>.»;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C92BFF">
        <w:rPr>
          <w:sz w:val="28"/>
          <w:szCs w:val="28"/>
        </w:rPr>
        <w:t>пункт 5.3 исключить;</w:t>
      </w:r>
    </w:p>
    <w:p w:rsidR="003129F9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C92BFF">
        <w:rPr>
          <w:sz w:val="28"/>
          <w:szCs w:val="28"/>
        </w:rPr>
        <w:t>пункты 5.4, 5.5, 5.6 считать соответственно пунктами 5.3, 5.4, 5.5;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23) пункт 5.5 </w:t>
      </w:r>
      <w:r w:rsidRPr="00D457C6">
        <w:rPr>
          <w:rFonts w:ascii="Times New Roman" w:hAnsi="Times New Roman" w:cs="Times New Roman"/>
          <w:sz w:val="28"/>
          <w:szCs w:val="28"/>
          <w:lang w:val="ru-RU"/>
        </w:rPr>
        <w:t>дополнить абзацем следующего содержания:</w:t>
      </w:r>
    </w:p>
    <w:p w:rsidR="003129F9" w:rsidRPr="00D457C6" w:rsidRDefault="003129F9" w:rsidP="003129F9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7C6">
        <w:rPr>
          <w:rFonts w:ascii="Times New Roman" w:hAnsi="Times New Roman" w:cs="Times New Roman"/>
          <w:sz w:val="28"/>
          <w:szCs w:val="28"/>
          <w:lang w:val="ru-RU"/>
        </w:rPr>
        <w:t xml:space="preserve">«В графах 10, 11 указываются соответственно наименование и код объекта РАИП или </w:t>
      </w:r>
      <w:proofErr w:type="spellStart"/>
      <w:r w:rsidRPr="00D457C6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D457C6">
        <w:rPr>
          <w:rFonts w:ascii="Times New Roman" w:hAnsi="Times New Roman" w:cs="Times New Roman"/>
          <w:sz w:val="28"/>
          <w:szCs w:val="28"/>
          <w:lang w:val="ru-RU"/>
        </w:rPr>
        <w:t>.».</w:t>
      </w:r>
    </w:p>
    <w:p w:rsidR="003129F9" w:rsidRPr="00C92BFF" w:rsidRDefault="003129F9" w:rsidP="00312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29F9" w:rsidRPr="00D457C6" w:rsidRDefault="003129F9" w:rsidP="003129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43B" w:rsidRDefault="00F7443B"/>
    <w:sectPr w:rsidR="00F7443B" w:rsidSect="00B63FA2">
      <w:pgSz w:w="11906" w:h="16838"/>
      <w:pgMar w:top="899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9F9"/>
    <w:rsid w:val="003129F9"/>
    <w:rsid w:val="00AF2EE6"/>
    <w:rsid w:val="00F35A88"/>
    <w:rsid w:val="00F7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9F9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12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2"/>
    <w:basedOn w:val="a"/>
    <w:rsid w:val="003129F9"/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129F9"/>
    <w:pPr>
      <w:spacing w:after="120"/>
    </w:pPr>
  </w:style>
  <w:style w:type="character" w:customStyle="1" w:styleId="a6">
    <w:name w:val="Основной текст Знак"/>
    <w:basedOn w:val="a0"/>
    <w:link w:val="a5"/>
    <w:rsid w:val="00312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129F9"/>
    <w:pPr>
      <w:ind w:left="-284" w:right="6235"/>
      <w:jc w:val="both"/>
    </w:pPr>
    <w:rPr>
      <w:color w:val="000000"/>
      <w:szCs w:val="20"/>
    </w:rPr>
  </w:style>
  <w:style w:type="paragraph" w:customStyle="1" w:styleId="ConsPlusNormal">
    <w:name w:val="ConsPlusNormal"/>
    <w:rsid w:val="00312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48192B64804A4073439603E09AA2B4741AC52B40C126D1C17667046BB807F262F248Dm6E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5448192B64804A4073439603E09AA2B4741AC52B40C126D1C17667046BB807F262F248Dm6E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B4741AC52B40C126D1C17667046BB807F262F248Fm6E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27E651C72F88F1960D4B2C6FF5D6B45918CFFC27EF9C144566E50C86A260CC1E73692CC76B6ABECCE9BAT616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1259BB620009CE9068D4F70E641E772399A30041B71C3DFD8FD1E1667A1EBA369D0F12R0G6J" TargetMode="External"/><Relationship Id="rId9" Type="http://schemas.openxmlformats.org/officeDocument/2006/relationships/hyperlink" Target="consultantplus://offline/ref=E465448192B64804A4073439603E09AA2B4741AC52B40C126D1C17667046BB807F262F248Dm6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2966</Words>
  <Characters>16910</Characters>
  <Application>Microsoft Office Word</Application>
  <DocSecurity>0</DocSecurity>
  <Lines>140</Lines>
  <Paragraphs>39</Paragraphs>
  <ScaleCrop>false</ScaleCrop>
  <Company>MultiDVD Team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2014-02-14T12:39:00Z</dcterms:created>
  <dcterms:modified xsi:type="dcterms:W3CDTF">2014-02-14T12:45:00Z</dcterms:modified>
</cp:coreProperties>
</file>